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6359"/>
        <w:gridCol w:w="1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典  当  借  款  清  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文件名称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申请借款报告（详细注明：借款用途，还款来源，抵质押物）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授权委托书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受托人身份证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公司（个人）简介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公司（个人）最新征信报告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公司法人代表结婚证及夫妻双方身份证件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原件或复印件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公司最新章程及修正案（工商局盖章）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公司同意借款的股东会（董事会）决议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全体股东的身份证件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原件或复印件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年检后的企业营业执照正副本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年检后的企业组织机构代码证正副本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年检后的企业开户许可证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年检后的企业税务登记证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年检后的企业贷款卡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企业近三个月的水费、电费发票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企业上一年度的财务年报及近三个月财务报表、附注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银行借款明细、对外担保情况（详述：银行、期限、金额、抵押物）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企业近三个月的工资表、网银工资转账单据及各银行账户流水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抵质押物（股权结构图、房地产权证、机器设备发票）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附注：请提供以上文件各一份并加盖公司公章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滁州市信和典当有限责任公司    联系电话：0550-3307899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70ED4"/>
    <w:rsid w:val="5837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2021-12-23T09:47:00Z</dcterms:created>
  <dc:creator>修远兮</dc:creator>
  <cp:lastModifiedBy>修远兮</cp:lastModifiedBy>
  <dcterms:modified xsi:type="dcterms:W3CDTF">2021-12-23T09:51:34Z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07D35599DE484410938E29AE4EC6B762</vt:lpwstr>
  </property>
</Properties>
</file>